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5C" w:rsidRPr="00F2335C" w:rsidRDefault="00F2335C" w:rsidP="00F2335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ПУБЛІЧНЕ АКЦІОНЕРНЕ ТОВАРИСТВО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“КРЕМЕНЧУЦЬКИЙ ЗАВОД ДОРОЖНІХ МАШИН”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повідомляє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чергові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відбудуться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31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2017 року о 16-ій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годині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приміщенні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інженерно-лабораторного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корпусу (II поверх, зала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засідань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№1) за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адресою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: м.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Кременчук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, пр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.С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вободи,4.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Проект порядку денного:</w:t>
      </w:r>
    </w:p>
    <w:p w:rsidR="00F2335C" w:rsidRPr="00F2335C" w:rsidRDefault="00F2335C" w:rsidP="00F2335C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1. 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Обрання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членів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лічильної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комісії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загальних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зборів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акціонері</w:t>
      </w:r>
      <w:proofErr w:type="gram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в</w:t>
      </w:r>
      <w:proofErr w:type="spellEnd"/>
      <w:proofErr w:type="gram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Проект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</w:t>
      </w:r>
      <w:proofErr w:type="gram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ішення</w:t>
      </w:r>
      <w:proofErr w:type="spell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: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Обрати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лічильну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комісію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складі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:</w:t>
      </w:r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Коноваленко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Людмила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Іванівна</w:t>
      </w:r>
      <w:proofErr w:type="spellEnd"/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Бородін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Леонідович</w:t>
      </w:r>
      <w:proofErr w:type="spellEnd"/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Акулов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Юрій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Макарович</w:t>
      </w:r>
      <w:proofErr w:type="spellEnd"/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Антонова 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Наталія</w:t>
      </w:r>
      <w:proofErr w:type="spellEnd"/>
      <w:proofErr w:type="gram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Павлівна</w:t>
      </w:r>
      <w:proofErr w:type="spellEnd"/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Масюк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Микола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Гончар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Володимирович</w:t>
      </w:r>
      <w:proofErr w:type="spellEnd"/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Богомаз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Володимир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Скоренко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Олександр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  Михайлович</w:t>
      </w:r>
    </w:p>
    <w:p w:rsidR="00F2335C" w:rsidRPr="00F2335C" w:rsidRDefault="00F2335C" w:rsidP="00F2335C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Степаненко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Олена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F2335C" w:rsidRPr="00F2335C" w:rsidRDefault="00F2335C" w:rsidP="00F2335C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2. 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Затвердження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звіту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Правління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про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фінансово-господарську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діяльність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в 2016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році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та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основні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gram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напрямки</w:t>
      </w:r>
      <w:proofErr w:type="gram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його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діяльності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в 2017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році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Проект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</w:t>
      </w:r>
      <w:proofErr w:type="gram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ішення</w:t>
      </w:r>
      <w:proofErr w:type="spell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:</w:t>
      </w:r>
    </w:p>
    <w:p w:rsidR="00F2335C" w:rsidRPr="00F2335C" w:rsidRDefault="00F2335C" w:rsidP="00F2335C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фінансово-господарську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2016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основні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напрямки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в 2017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F2335C" w:rsidRPr="00F2335C" w:rsidRDefault="00F2335C" w:rsidP="00F2335C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proofErr w:type="gram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ічний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2016 р. –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F2335C" w:rsidRPr="00F2335C" w:rsidRDefault="00F2335C" w:rsidP="00F2335C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Правлінню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: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забезпечити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виконання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затвердженого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плану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виробництва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реалізації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2017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ік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прискорити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поетапного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приведення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івня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яка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виробляється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Товариством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відповідність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вимогами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європейських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сертифікатів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 xml:space="preserve">-       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продовжити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виконання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вс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діючих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програм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спрямованих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стабілізацію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підприємства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поліпшення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якості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розширення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її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номенклатури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освоєння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нових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ринків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збуту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енергоефективності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енергозбереження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3. 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Затвердження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звіту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та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висновку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Ревізійної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комісії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Проект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</w:t>
      </w:r>
      <w:proofErr w:type="gram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ішення</w:t>
      </w:r>
      <w:proofErr w:type="spell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:</w:t>
      </w:r>
    </w:p>
    <w:p w:rsidR="00F2335C" w:rsidRPr="00F2335C" w:rsidRDefault="00F2335C" w:rsidP="00F233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роботу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–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F2335C" w:rsidRPr="00F2335C" w:rsidRDefault="00F2335C" w:rsidP="00F233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Висновок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F2335C" w:rsidRPr="00F2335C" w:rsidRDefault="00F2335C" w:rsidP="00F233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Ревізійній</w:t>
      </w:r>
      <w:proofErr w:type="spellEnd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proofErr w:type="gramStart"/>
      <w:r w:rsidRPr="00F2335C">
        <w:rPr>
          <w:rFonts w:ascii="Verdana" w:eastAsia="Times New Roman" w:hAnsi="Verdana" w:cs="Times New Roman"/>
          <w:color w:val="294F57"/>
          <w:sz w:val="20"/>
          <w:szCs w:val="20"/>
        </w:rPr>
        <w:t xml:space="preserve"> :</w:t>
      </w:r>
      <w:proofErr w:type="gramEnd"/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посилити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контроль за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обл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іково-фінансовою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господарською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діяльністю</w:t>
      </w:r>
      <w:proofErr w:type="spellEnd"/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ПАТ “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”;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у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своїй</w:t>
      </w:r>
      <w:proofErr w:type="spellEnd"/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подальшій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роботі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врахувати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зауваження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висловлені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виступах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4. 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Затвердження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звіту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Наглядової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ради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Проект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</w:t>
      </w:r>
      <w:proofErr w:type="gram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ішення</w:t>
      </w:r>
      <w:proofErr w:type="spell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: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1.Звіт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про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її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діяльність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2016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а т в е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spellEnd"/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и т и 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2.Наглядовій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Раді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забезпечити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контроль за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виконанням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ішень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  та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захисту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5. 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Затвердження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порядку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розподілу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прибутку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та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вирішення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питання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про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виплату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дивіденді</w:t>
      </w:r>
      <w:proofErr w:type="gram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в</w:t>
      </w:r>
      <w:proofErr w:type="spellEnd"/>
      <w:proofErr w:type="gram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за 2016 р.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Проект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</w:t>
      </w:r>
      <w:proofErr w:type="gram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ішення</w:t>
      </w:r>
      <w:proofErr w:type="spell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: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1.  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Розподіл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прибутку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2016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а т в е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spellEnd"/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и т и.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2.   За результатами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поточної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фінансової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2017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використовувати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кошти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відповідності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кошторисом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кожним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напрямом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3.  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Дивіденди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ідсумками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 2016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рік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нарахувати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розмірі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30 </w:t>
      </w:r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(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тридцять</w:t>
      </w:r>
      <w:proofErr w:type="spell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) 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гривень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  на одну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акцію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Дивіденди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виплатити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повному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обсязі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через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депозитарну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систему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. Початок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виплати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дивідендів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17</w:t>
      </w:r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травня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  2017 року.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4. 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Залишок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чистого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прибутку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інвестувати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розвиток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виробництва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6. 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Припинення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повноважень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членів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Наглядової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ради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Проект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</w:t>
      </w:r>
      <w:proofErr w:type="gram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ішення</w:t>
      </w:r>
      <w:proofErr w:type="spell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: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lastRenderedPageBreak/>
        <w:t xml:space="preserve">1.Припинити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повноваження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членів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7. 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Припинення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повноважень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членів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Ревізійної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комісії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Проект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</w:t>
      </w:r>
      <w:proofErr w:type="gram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ішення</w:t>
      </w:r>
      <w:proofErr w:type="spellEnd"/>
      <w:r w:rsidRPr="00F2335C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: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1. 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Припинити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повноваження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членів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8. 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Обрання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членів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Наглядової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ради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294F57"/>
          <w:sz w:val="20"/>
        </w:rPr>
        <w:t>9. 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Обрання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членів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Ревізійної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комісії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294F57"/>
          <w:sz w:val="20"/>
          <w:u w:val="single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Перелік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які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мають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право на участь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складається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станом на 24 годину 27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березня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2017 р.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Реєстрація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учасників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14-00 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до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15-40.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Для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при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собі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потрібно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мати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паспорт.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Представникам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потрібно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мати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паспорт та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довіреність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право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участі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засвідчену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відповідно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чинного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законодавства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України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.            На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зборах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обов’язково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бути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присутнім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особисто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.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Довіреність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оформили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раніше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дійсна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2017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З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матеріалами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пов’язаними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порядком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денним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можна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ознайомитися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секретаря корпоративного (в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робочі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8 до 17–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години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каб.205,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інженерно-лабораторний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корпус, пр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.С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вободи,4 .).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Посадова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особа,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відповідальна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 порядок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ознайомлення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документами –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секретар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корпоративний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Ляшенко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Н.Г.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Пропозиції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щодо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порядку денного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надаються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секретарю корпоративному в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письмовій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формі</w:t>
      </w:r>
      <w:proofErr w:type="spellEnd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,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тел. (0536) 76-51-11.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Щоб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уникнути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проблем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ід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час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реєстрації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акціонерам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у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яких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відбулися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зміни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реквізитів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(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прізвище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ім’я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по-батькові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адреса,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паспортні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дані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),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необхідно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заздалегідь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звернутися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депозитарної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установи.</w:t>
      </w:r>
    </w:p>
    <w:p w:rsidR="00F2335C" w:rsidRPr="00F2335C" w:rsidRDefault="00F2335C" w:rsidP="00F233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Результати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будуть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розміщені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веб-сайті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  <w:hyperlink r:id="rId5" w:history="1">
        <w:r w:rsidRPr="00F2335C">
          <w:rPr>
            <w:rFonts w:ascii="Verdana" w:eastAsia="Times New Roman" w:hAnsi="Verdana" w:cs="Times New Roman"/>
            <w:color w:val="57159E"/>
            <w:sz w:val="20"/>
          </w:rPr>
          <w:t>www.kredmash.com</w:t>
        </w:r>
      </w:hyperlink>
      <w:r w:rsidRPr="00F2335C">
        <w:rPr>
          <w:rFonts w:ascii="Verdana" w:eastAsia="Times New Roman" w:hAnsi="Verdana" w:cs="Times New Roman"/>
          <w:color w:val="1A3337"/>
          <w:sz w:val="20"/>
        </w:rPr>
        <w:t> </w:t>
      </w: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протягом 10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робочих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днів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ісля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закриття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Основні</w:t>
      </w:r>
      <w:proofErr w:type="spell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показники</w:t>
      </w:r>
      <w:proofErr w:type="spell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фінансово-господарської</w:t>
      </w:r>
      <w:proofErr w:type="spell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діяльності</w:t>
      </w:r>
      <w:proofErr w:type="spell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п</w:t>
      </w:r>
      <w:proofErr w:type="gram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ідприємства</w:t>
      </w:r>
      <w:proofErr w:type="spell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,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right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тис</w:t>
      </w:r>
      <w:proofErr w:type="gramStart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  <w:proofErr w:type="gram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proofErr w:type="gramStart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г</w:t>
      </w:r>
      <w:proofErr w:type="gram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рн</w:t>
      </w:r>
      <w:proofErr w:type="spellEnd"/>
      <w:r w:rsidRPr="00F2335C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tbl>
      <w:tblPr>
        <w:tblW w:w="141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1"/>
        <w:gridCol w:w="3408"/>
        <w:gridCol w:w="3591"/>
      </w:tblGrid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Найменування</w:t>
            </w:r>
            <w:proofErr w:type="spellEnd"/>
            <w:r w:rsidRPr="00F2335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показника</w:t>
            </w:r>
            <w:proofErr w:type="spellEnd"/>
          </w:p>
        </w:tc>
        <w:tc>
          <w:tcPr>
            <w:tcW w:w="5175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</w:rPr>
              <w:t>Період</w:t>
            </w:r>
            <w:proofErr w:type="spellEnd"/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Звітний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2016 р.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Попередній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2015 р.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lastRenderedPageBreak/>
              <w:t>Усього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активі</w:t>
            </w:r>
            <w:proofErr w:type="gram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422 835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313 963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Основні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засоби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70 212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75 998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фінансові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інвестиції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7 670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7 700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Запаси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152 704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101 047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Сумарна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дебіторська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заборгованість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107 910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54 735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Грошові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кошти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еквіваленти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82 092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72 428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Власний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323 805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279 870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Статутний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8 543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Нерозподілений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51 434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29 010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Чистий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51 434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29 010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Довгострокові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781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510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Поточні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зобов’язання</w:t>
            </w:r>
            <w:proofErr w:type="spellEnd"/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98 249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33 583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lastRenderedPageBreak/>
              <w:t>Середньорічна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кількість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простих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акцій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(шт.)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341 719</w:t>
            </w:r>
          </w:p>
        </w:tc>
      </w:tr>
      <w:tr w:rsidR="00F2335C" w:rsidRPr="00F2335C" w:rsidTr="00F2335C">
        <w:trPr>
          <w:jc w:val="center"/>
        </w:trPr>
        <w:tc>
          <w:tcPr>
            <w:tcW w:w="52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Чисельність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працівникі</w:t>
            </w:r>
            <w:proofErr w:type="gram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gram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на</w:t>
            </w:r>
            <w:proofErr w:type="gram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кінець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періоду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</w:t>
            </w:r>
            <w:proofErr w:type="spellStart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осіб</w:t>
            </w:r>
            <w:proofErr w:type="spellEnd"/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1 974</w:t>
            </w:r>
          </w:p>
        </w:tc>
        <w:tc>
          <w:tcPr>
            <w:tcW w:w="265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335C" w:rsidRPr="00F2335C" w:rsidRDefault="00F2335C" w:rsidP="00F2335C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335C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2 038</w:t>
            </w:r>
          </w:p>
        </w:tc>
      </w:tr>
    </w:tbl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Власні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акції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протягом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звітного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періоду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не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викупались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Повідомлення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проведення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загальних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зборів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опубліковано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  в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ідомостях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НКЦПФР          № 35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  21.02.2017 р.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Особа,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вказана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нижче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</w:t>
      </w:r>
      <w:proofErr w:type="gram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ідтверджує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достовірність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інформації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вказана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повідомленні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та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визнає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що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вона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несе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відповідальність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згідно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законодавства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:</w:t>
      </w:r>
    </w:p>
    <w:p w:rsidR="00F2335C" w:rsidRPr="00F2335C" w:rsidRDefault="00F2335C" w:rsidP="00F2335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Голова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правління-Генеральний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директор           </w:t>
      </w:r>
      <w:proofErr w:type="spell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Тверезий</w:t>
      </w:r>
      <w:proofErr w:type="spellEnd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 xml:space="preserve"> О.</w:t>
      </w:r>
      <w:proofErr w:type="gramStart"/>
      <w:r w:rsidRPr="00F2335C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gramEnd"/>
    </w:p>
    <w:p w:rsidR="0082344F" w:rsidRDefault="0082344F"/>
    <w:sectPr w:rsidR="0082344F" w:rsidSect="00F23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1B3"/>
    <w:multiLevelType w:val="multilevel"/>
    <w:tmpl w:val="6E64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3791E"/>
    <w:multiLevelType w:val="multilevel"/>
    <w:tmpl w:val="9FB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56E76"/>
    <w:multiLevelType w:val="multilevel"/>
    <w:tmpl w:val="D4C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E13A4"/>
    <w:multiLevelType w:val="multilevel"/>
    <w:tmpl w:val="6BEE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6287C"/>
    <w:multiLevelType w:val="multilevel"/>
    <w:tmpl w:val="4872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803E9"/>
    <w:multiLevelType w:val="multilevel"/>
    <w:tmpl w:val="62A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E604D"/>
    <w:multiLevelType w:val="multilevel"/>
    <w:tmpl w:val="54081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BA4B27"/>
    <w:multiLevelType w:val="multilevel"/>
    <w:tmpl w:val="C25C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CC1D44"/>
    <w:multiLevelType w:val="multilevel"/>
    <w:tmpl w:val="E146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DB1915"/>
    <w:multiLevelType w:val="multilevel"/>
    <w:tmpl w:val="EF3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06E77"/>
    <w:multiLevelType w:val="multilevel"/>
    <w:tmpl w:val="16CE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335C"/>
    <w:rsid w:val="0082344F"/>
    <w:rsid w:val="00F2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335C"/>
    <w:rPr>
      <w:b/>
      <w:bCs/>
    </w:rPr>
  </w:style>
  <w:style w:type="character" w:customStyle="1" w:styleId="apple-converted-space">
    <w:name w:val="apple-converted-space"/>
    <w:basedOn w:val="a0"/>
    <w:rsid w:val="00F2335C"/>
  </w:style>
  <w:style w:type="character" w:styleId="a5">
    <w:name w:val="Emphasis"/>
    <w:basedOn w:val="a0"/>
    <w:uiPriority w:val="20"/>
    <w:qFormat/>
    <w:rsid w:val="00F2335C"/>
    <w:rPr>
      <w:i/>
      <w:iCs/>
    </w:rPr>
  </w:style>
  <w:style w:type="character" w:styleId="a6">
    <w:name w:val="Hyperlink"/>
    <w:basedOn w:val="a0"/>
    <w:uiPriority w:val="99"/>
    <w:semiHidden/>
    <w:unhideWhenUsed/>
    <w:rsid w:val="00F233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edmash.com/mce_hr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4772</Characters>
  <Application>Microsoft Office Word</Application>
  <DocSecurity>0</DocSecurity>
  <Lines>39</Lines>
  <Paragraphs>11</Paragraphs>
  <ScaleCrop>false</ScaleCrop>
  <Company>MultiDVD Team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2017-03-17T10:38:00Z</dcterms:created>
  <dcterms:modified xsi:type="dcterms:W3CDTF">2017-03-17T10:38:00Z</dcterms:modified>
</cp:coreProperties>
</file>