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E9" w:rsidRPr="00883AE9" w:rsidRDefault="00883AE9" w:rsidP="00883AE9">
      <w:pPr>
        <w:shd w:val="clear" w:color="auto" w:fill="FFFFFF"/>
        <w:spacing w:after="0" w:line="240" w:lineRule="auto"/>
        <w:ind w:left="225"/>
        <w:jc w:val="center"/>
        <w:outlineLvl w:val="1"/>
        <w:rPr>
          <w:rFonts w:ascii="Arial" w:eastAsia="Times New Roman" w:hAnsi="Arial" w:cs="Arial"/>
          <w:b/>
          <w:bCs/>
          <w:caps/>
          <w:color w:val="15416F"/>
          <w:sz w:val="21"/>
          <w:szCs w:val="21"/>
        </w:rPr>
      </w:pPr>
      <w:proofErr w:type="gramStart"/>
      <w:r w:rsidRPr="00883AE9">
        <w:rPr>
          <w:rFonts w:ascii="Arial" w:eastAsia="Times New Roman" w:hAnsi="Arial" w:cs="Arial"/>
          <w:b/>
          <w:bCs/>
          <w:caps/>
          <w:color w:val="15416F"/>
          <w:sz w:val="21"/>
        </w:rPr>
        <w:t>Р</w:t>
      </w:r>
      <w:proofErr w:type="gramEnd"/>
      <w:r w:rsidRPr="00883AE9">
        <w:rPr>
          <w:rFonts w:ascii="Arial" w:eastAsia="Times New Roman" w:hAnsi="Arial" w:cs="Arial"/>
          <w:b/>
          <w:bCs/>
          <w:caps/>
          <w:color w:val="15416F"/>
          <w:sz w:val="21"/>
        </w:rPr>
        <w:t>ІЧНА ІНФОРМАЦІЯ ЕМІТЕНТА ЗА 2012 РІК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1.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Загальні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відомості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br/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1.1.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Повне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найменування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Публічне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i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онерне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Кременчуцький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завод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дорожнiх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машин"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1.2.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Організаційно-правова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форма: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Публічне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акціонерне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1.3.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Місцезнаходження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39600,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Полтавська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Кременчуцький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.К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ременчук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вул.60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рокiв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Жовтня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, 4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1.4.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Ідентифікаційний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код за ЄДРПОУ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: 05762565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1.5.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Міжміський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код та телефон: (05366) 2-33-92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1.6.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Серія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номер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ідоцтва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державну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реєстрацію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: АОО №681880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1.7. Дата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державної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реєстрації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: 13.04.2000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1.8. Адреса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сторінки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мереж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Інтернет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яка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додатково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використовується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емітентом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для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розкриття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інформації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: www.kredmash.com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Основні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показники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фінансово-господарської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діяльності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proofErr w:type="gram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ідприємства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(тис.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грн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.)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8"/>
        <w:gridCol w:w="1957"/>
        <w:gridCol w:w="1978"/>
        <w:gridCol w:w="1992"/>
      </w:tblGrid>
      <w:tr w:rsidR="00883AE9" w:rsidRPr="00883AE9" w:rsidTr="00883AE9">
        <w:tc>
          <w:tcPr>
            <w:tcW w:w="5610" w:type="dxa"/>
            <w:gridSpan w:val="2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Найменування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4005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період</w:t>
            </w:r>
            <w:proofErr w:type="spellEnd"/>
          </w:p>
        </w:tc>
      </w:tr>
      <w:tr w:rsidR="00883AE9" w:rsidRPr="00883AE9" w:rsidTr="00883AE9">
        <w:tc>
          <w:tcPr>
            <w:tcW w:w="0" w:type="auto"/>
            <w:gridSpan w:val="2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883AE9" w:rsidRPr="00883AE9" w:rsidRDefault="00883AE9" w:rsidP="00883AE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звітний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попередній</w:t>
            </w:r>
            <w:proofErr w:type="spellEnd"/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Усього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активі</w:t>
            </w:r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219374,00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195835,00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Основні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засоби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(за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залишковою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вартістю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55673,00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48616,00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Довгострокові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фінансові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інвестиції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4212,00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4212,00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Запаси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85919,00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64573,00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Сумарна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дебіторська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заборгованість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45156,00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66452,00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Грошові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кошти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та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їх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еквіваленти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23389,00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8810,00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Власний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177765,00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142301,00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Статутний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8543,00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8543,00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Нерозподілений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прибуток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непокритий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збиток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36836,00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14132,00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Довгострокові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Поточні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41375,00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53346,00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Чистий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прибуток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збиток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) на одну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просту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акцію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107,796170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40,354790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Скоригований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чистий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прибуток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збиток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) на одну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просту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акцію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грн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.)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107,796170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40,354790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Середньорічна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кількість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простих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акцій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(шт.)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341719,000000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341719,000000</w:t>
            </w:r>
          </w:p>
        </w:tc>
      </w:tr>
      <w:tr w:rsidR="00883AE9" w:rsidRPr="00883AE9" w:rsidTr="00883AE9">
        <w:tc>
          <w:tcPr>
            <w:tcW w:w="361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Ц</w:t>
            </w:r>
            <w:proofErr w:type="gram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інні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папери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власних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випусків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викуплені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протягом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звітного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періоду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загальна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номінальна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</w:t>
            </w:r>
          </w:p>
        </w:tc>
      </w:tr>
      <w:tr w:rsidR="00883AE9" w:rsidRPr="00883AE9" w:rsidTr="00883AE9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883AE9" w:rsidRPr="00883AE9" w:rsidRDefault="00883AE9" w:rsidP="00883AE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у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відсотках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від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статутного</w:t>
            </w:r>
            <w:proofErr w:type="gram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капіталу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0,000000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0,000000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Загальна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сума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коштів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витрачених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на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викуп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цінних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паперів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власних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випусків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протягом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періоду</w:t>
            </w:r>
            <w:proofErr w:type="spell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</w:t>
            </w:r>
          </w:p>
        </w:tc>
      </w:tr>
      <w:tr w:rsidR="00883AE9" w:rsidRPr="00883AE9" w:rsidTr="00883AE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Вартість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чистих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активі</w:t>
            </w:r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177765,00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142301,00</w:t>
            </w:r>
          </w:p>
        </w:tc>
      </w:tr>
    </w:tbl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3.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органи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управління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емітента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посадових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осіб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його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засновникі</w:t>
      </w:r>
      <w:proofErr w:type="gram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Органи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управління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Органами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управлiння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  є: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а)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загальнi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акцiонерiв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б)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рада;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в)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Посадові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особи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президент ПАТ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" -  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Данилейко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Микола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Іванович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Генеральний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директор  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Тверезий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Олександр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Володимирович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Заступник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 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Куленко</w:t>
      </w:r>
      <w:proofErr w:type="spellEnd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іктор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Васильович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Заступник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директор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комерційних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економіки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Косих Михайло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Юрійович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</w:rPr>
        <w:t> 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директор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технічний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 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Довбня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Олександр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Іванович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директор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персоналу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соціальних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 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Редькін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Олександр</w:t>
      </w:r>
      <w:proofErr w:type="spellEnd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ікторович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Секретар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- начальник планово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кономічного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відділу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 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Ляшенко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Ніна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Гур'ївна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 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головний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бухгалтер 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Бихкало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Оксана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Володимирівна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головний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енергетик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ПАТ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"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Перепельченко</w:t>
      </w:r>
      <w:proofErr w:type="spellEnd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іктор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Іванович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начальник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ВОПЗ ПАТ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"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Кузнєцова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Миколаївна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голова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ПрАТ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НТЦ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Інформаційні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системи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"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Будко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Олександр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Олександрович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</w:rPr>
        <w:t> 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- начальник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УЗіК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Лагута</w:t>
      </w:r>
      <w:proofErr w:type="spellEnd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італій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Васильович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директор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виробництва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маркетингу -  Грек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Іван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Єгорович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Матевосян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ікторія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Миколаївна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Питоня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Анатоліївна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Рябищук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Іванівна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начальник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  цеху №3  ПАТ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"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Хмельницький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Сергій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Миколайович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Засновники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емітента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Фонд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Державного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майна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Місцезнаходження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Україна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Київ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вул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Садова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, 3. 0,000000%.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4.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цінні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папери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емітента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 Дата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реєстрації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випуску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02.06.2010. Номер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св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ідоцтва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реєстрацію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випуску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317/1/10.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Найменування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органу,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зареєстрував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випуск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ДКЦПФР.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Міжнародний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ідентифікаційний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номер: UA4000073563. Тип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цінного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папера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проста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бездокументарна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іменна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 Форма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існування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Бездокументарні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іменні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Номінальна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вартість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(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грн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.): 25,00.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Кількість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(штук): 341719.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Загальна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номінальна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вартість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(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грн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.): 8542975,00.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Частка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статутному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капіталі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(у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відсотках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): 100,000000.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Цінні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папери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включені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Біржового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списку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допущені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Торгів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ПАТ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Фондова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біржа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"Перспектива"(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м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.Д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ніпропетровськ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).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Додаткового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випуску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відбувалось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5.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зміну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особи, яка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веде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proofErr w:type="gram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обл</w:t>
      </w:r>
      <w:proofErr w:type="gram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ік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прав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власності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на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цінні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папери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емітента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у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депозитарній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системі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України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Обл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власності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цінні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папери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веде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Приватне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акціонерне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Всеукраїнський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депозитарій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цінних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паперів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".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6.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загальні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збори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Вид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загальних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зборів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: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чергові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. Дата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проведення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: 29.03.2013. Кворум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зборів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(%): 87,720000.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Порядок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денний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: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Обрання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членів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л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ічильної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2.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фінансово-господарську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діяльність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2012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основні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напрямки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його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2013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3.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висновків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4.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5.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порядку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розподілу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прибутку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вирішення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питання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виплату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дивідендів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 2012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..</w:t>
      </w:r>
      <w:r w:rsidRPr="00883AE9">
        <w:rPr>
          <w:rFonts w:ascii="Verdana" w:eastAsia="Times New Roman" w:hAnsi="Verdana" w:cs="Times New Roman"/>
          <w:color w:val="1A3337"/>
          <w:sz w:val="20"/>
        </w:rPr>
        <w:t> 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Вид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загальних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зборів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: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чергові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. Дата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проведення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: 23.03.2012. Кворум </w:t>
      </w:r>
      <w:proofErr w:type="spellStart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>зборів</w:t>
      </w:r>
      <w:proofErr w:type="spellEnd"/>
      <w:r w:rsidRPr="00883AE9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(%): 87,610000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Порядок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денний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: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Обрання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членів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л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ічильної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2.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фінансово-господарську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діяльність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2011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основні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напрямки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його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2012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3.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висновків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4.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5.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порядку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розподілу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прибутку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вирішення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питання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виплату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дивідендів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 2011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6.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Внесення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змі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</w:t>
      </w:r>
      <w:proofErr w:type="spellEnd"/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Статуту ПАТ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Кременчуцький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завод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дорожніх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машин".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7.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дивіденди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3"/>
        <w:gridCol w:w="1367"/>
        <w:gridCol w:w="1869"/>
        <w:gridCol w:w="1367"/>
        <w:gridCol w:w="1869"/>
      </w:tblGrid>
      <w:tr w:rsidR="00883AE9" w:rsidRPr="00883AE9" w:rsidTr="00883AE9">
        <w:tc>
          <w:tcPr>
            <w:tcW w:w="436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результатами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звітного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періоду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результатами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періоду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що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передував</w:t>
            </w:r>
            <w:proofErr w:type="gram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звітному</w:t>
            </w:r>
            <w:proofErr w:type="spellEnd"/>
          </w:p>
        </w:tc>
      </w:tr>
      <w:tr w:rsidR="00883AE9" w:rsidRPr="00883AE9" w:rsidTr="00883AE9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883AE9" w:rsidRPr="00883AE9" w:rsidRDefault="00883AE9" w:rsidP="00883AE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простими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акціями</w:t>
            </w:r>
            <w:proofErr w:type="spellEnd"/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за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привілейованими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акціями</w:t>
            </w:r>
            <w:proofErr w:type="spellEnd"/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за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простими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акціями</w:t>
            </w:r>
            <w:proofErr w:type="spellEnd"/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за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привілейованими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акціями</w:t>
            </w:r>
            <w:proofErr w:type="spellEnd"/>
          </w:p>
        </w:tc>
      </w:tr>
      <w:tr w:rsidR="00883AE9" w:rsidRPr="00883AE9" w:rsidTr="00883AE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Сума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нарахованих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дивідендів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грн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3 417 190,0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1 366 876,0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</w:p>
        </w:tc>
      </w:tr>
      <w:tr w:rsidR="00883AE9" w:rsidRPr="00883AE9" w:rsidTr="00883AE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Нараховані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дивіденди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на одну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акцію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грн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10,00000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0,00000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4,00000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0,00000</w:t>
            </w:r>
          </w:p>
        </w:tc>
      </w:tr>
      <w:tr w:rsidR="00883AE9" w:rsidRPr="00883AE9" w:rsidTr="00883AE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Сума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виплачених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дивідендів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грн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2 329 000,0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1 322 738,6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</w:p>
        </w:tc>
      </w:tr>
      <w:tr w:rsidR="00883AE9" w:rsidRPr="00883AE9" w:rsidTr="00883AE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Дата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складення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переліку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осіб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які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мають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право на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отримання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дивіденді</w:t>
            </w:r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01.04.2013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02.04.2012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883AE9" w:rsidRPr="00883AE9" w:rsidTr="00883AE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Дата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виплати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дивіденді</w:t>
            </w:r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15.04.2013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09.04.2012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883AE9" w:rsidRPr="00883AE9" w:rsidTr="00883AE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6000" w:type="dxa"/>
            <w:gridSpan w:val="4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AE9" w:rsidRPr="00883AE9" w:rsidRDefault="00883AE9" w:rsidP="00883AE9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Дата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прийняття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рішення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про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виплату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дивідендів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- 29.03.2013 р.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загальними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зборами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акціонерів</w:t>
            </w:r>
            <w:proofErr w:type="gram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.Д</w:t>
            </w:r>
            <w:proofErr w:type="gram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ата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початку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виплати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дивідендів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(за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звітний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період</w:t>
            </w:r>
            <w:proofErr w:type="spellEnd"/>
            <w:r w:rsidRPr="00883AE9">
              <w:rPr>
                <w:rFonts w:ascii="Verdana" w:eastAsia="Times New Roman" w:hAnsi="Verdana" w:cs="Times New Roman"/>
                <w:sz w:val="20"/>
                <w:szCs w:val="20"/>
              </w:rPr>
              <w:t>) - 15.04.2013 р..</w:t>
            </w:r>
          </w:p>
        </w:tc>
      </w:tr>
    </w:tbl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8.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щодо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аудиторського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висновку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На  думку 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аудиторської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фірми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"БАЛАНС+АУДИТ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"(</w:t>
      </w:r>
      <w:proofErr w:type="spellStart"/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свідоцтво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Аудиторської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Палати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внесення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Реестр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суб'єктів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аудиторської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№2564 )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попередня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фінансова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звітність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станом на 31.12.2012 р. та за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рік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закінчився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зазначену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дату,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складена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усіх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суттєвих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аспектах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відповідно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концептуальної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основи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спеціального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призначення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описаної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примітці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Примітки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попередньої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фінансової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звітності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ПАТ "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" за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закінчився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31.12.2012р.",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включаючи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припущення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управлінського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персоналу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щодо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стандартів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тлумачень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як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очікується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будуть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чинними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облікових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політик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як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очікується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будуть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прийняті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дату, коли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управлінський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персонал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підготує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перший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повний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пакет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фінансової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звітності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згідно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МСФЗ станом на 31.12.2013 року.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9.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щодо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дати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розміщення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повного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тексту </w:t>
      </w:r>
      <w:proofErr w:type="spellStart"/>
      <w:proofErr w:type="gram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ічної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інформації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у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загальнодоступній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інформаційній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базі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даних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іншого</w:t>
      </w:r>
      <w:proofErr w:type="spell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оприлюднення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Дата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розміщення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Інформації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загальнодоступній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інформаційній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базі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даних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: 25.04.2013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10. </w:t>
      </w:r>
      <w:proofErr w:type="spellStart"/>
      <w:proofErr w:type="gramStart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883AE9">
        <w:rPr>
          <w:rFonts w:ascii="Verdana" w:eastAsia="Times New Roman" w:hAnsi="Verdana" w:cs="Times New Roman"/>
          <w:b/>
          <w:bCs/>
          <w:color w:val="1A3337"/>
          <w:sz w:val="20"/>
        </w:rPr>
        <w:t>ідпис</w:t>
      </w:r>
      <w:proofErr w:type="spellEnd"/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10.1. Особа,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зазначена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нижче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ідтверджує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достовірність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наведеної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інформації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визнає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вона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несе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відповідальність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згідно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законодавством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883AE9" w:rsidRPr="00883AE9" w:rsidRDefault="00883AE9" w:rsidP="00883AE9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10.2. Голова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правл</w:t>
      </w:r>
      <w:proofErr w:type="gram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i</w:t>
      </w:r>
      <w:proofErr w:type="gram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ння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Генеральний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директор  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Тверезий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Олександр</w:t>
      </w:r>
      <w:proofErr w:type="spellEnd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883AE9">
        <w:rPr>
          <w:rFonts w:ascii="Verdana" w:eastAsia="Times New Roman" w:hAnsi="Verdana" w:cs="Times New Roman"/>
          <w:color w:val="1A3337"/>
          <w:sz w:val="20"/>
          <w:szCs w:val="20"/>
        </w:rPr>
        <w:t>Володимирович</w:t>
      </w:r>
      <w:proofErr w:type="spellEnd"/>
    </w:p>
    <w:p w:rsidR="006A7433" w:rsidRDefault="006A7433" w:rsidP="00883AE9"/>
    <w:sectPr w:rsidR="006A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AE9"/>
    <w:rsid w:val="006A7433"/>
    <w:rsid w:val="0088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3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A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icon">
    <w:name w:val="art-postheadericon"/>
    <w:basedOn w:val="a0"/>
    <w:rsid w:val="00883AE9"/>
  </w:style>
  <w:style w:type="paragraph" w:styleId="a3">
    <w:name w:val="Normal (Web)"/>
    <w:basedOn w:val="a"/>
    <w:uiPriority w:val="99"/>
    <w:unhideWhenUsed/>
    <w:rsid w:val="0088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3AE9"/>
    <w:rPr>
      <w:b/>
      <w:bCs/>
    </w:rPr>
  </w:style>
  <w:style w:type="character" w:customStyle="1" w:styleId="apple-converted-space">
    <w:name w:val="apple-converted-space"/>
    <w:basedOn w:val="a0"/>
    <w:rsid w:val="00883AE9"/>
  </w:style>
  <w:style w:type="character" w:styleId="a5">
    <w:name w:val="Emphasis"/>
    <w:basedOn w:val="a0"/>
    <w:uiPriority w:val="20"/>
    <w:qFormat/>
    <w:rsid w:val="00883A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6430</Characters>
  <Application>Microsoft Office Word</Application>
  <DocSecurity>0</DocSecurity>
  <Lines>53</Lines>
  <Paragraphs>15</Paragraphs>
  <ScaleCrop>false</ScaleCrop>
  <Company>MultiDVD Team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2017-03-17T09:36:00Z</dcterms:created>
  <dcterms:modified xsi:type="dcterms:W3CDTF">2017-03-17T09:37:00Z</dcterms:modified>
</cp:coreProperties>
</file>