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1. Общие сведения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1.1. Полное наименование эмитента: Открытое акционерное общество "Кременчугский завод дорожных машин"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1.2. Организационно-правовая форма: Открытое акционерное общество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1.3. Местонахождение эмитента: 39600, Полтавская, Кременчугский, г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.К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>ременчуг, ул.60 лет Октября, 4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1.4. Идентификационный код согласно ЕГРПОУ эмитента: 05762565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1.5. Междугородный код и телефон: (05366) 2-33-92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1.6. Серия и номер свидетельства о государственной регистрации эмитента: АОО №681880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1.7. Дата государственной регистрации: 13.04.2000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1.8. Адрес страницы в сети Интернет, которая дополнительно используется эмитентом для раскрытия информации: www.kredmash.com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2. Основные показатели финансово-хозяйственной деятельности предприятия (тыс. </w:t>
      </w:r>
      <w:proofErr w:type="spellStart"/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грн</w:t>
      </w:r>
      <w:proofErr w:type="spellEnd"/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.)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3"/>
        <w:gridCol w:w="2099"/>
        <w:gridCol w:w="1729"/>
        <w:gridCol w:w="1729"/>
      </w:tblGrid>
      <w:tr w:rsidR="00C824AA" w:rsidRPr="00C824AA" w:rsidTr="00C824AA">
        <w:trPr>
          <w:jc w:val="center"/>
        </w:trPr>
        <w:tc>
          <w:tcPr>
            <w:tcW w:w="6000" w:type="dxa"/>
            <w:gridSpan w:val="2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период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отчетный</w:t>
            </w:r>
          </w:p>
        </w:tc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предыдущий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Всего активов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158943,00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143145,00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Основные средства (по остаточной стоимости)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47198,00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47436,00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Долгосрочные финансовые инвестиции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712,00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712,00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Запасы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60771,00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59381,00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Суммарная дебиторская задолженность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42496,00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31965,00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3750,00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2558,00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Собственный капитал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129305,00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120660,00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Уставной капитал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8543,00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8543,00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8968,00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6040,00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974,00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Текущие обязательства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29523,00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21436,00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Чистая прибыль (убыток) на одну простую акцию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26,284940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17,836470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Скорректированная чистая прибыль (убыток) на одну простую акцию (</w:t>
            </w:r>
            <w:proofErr w:type="spellStart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грн</w:t>
            </w:r>
            <w:proofErr w:type="spellEnd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26,284940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17,836470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Среднегодовое количество простых акций (шт.)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341184,000000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338632,000000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Ценные бумаги собственных выпусков, выкупленные на протяжении отчетного периода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общая номинальная стоимость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42300,00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35450,00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 процентах от уставного капитала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0,495144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0,414961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Общая сумма средств, затраченных на выкуп ценных бумаг собственных выпусков на протяжении периода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193900,00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169200,00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Стоимость чистых активов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129305,00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120660,00</w:t>
            </w:r>
          </w:p>
        </w:tc>
      </w:tr>
    </w:tbl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lastRenderedPageBreak/>
        <w:t>3. Информация об органах управления эмитента, должностных лицах и его учредителях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Органы управления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Органами управления эмитента являются общее собрание акционеров, наблюдательный совет, правление и ревизионная комиссия.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Должностные лица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Председатель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правления-президент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Данилейко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Николай Иванович. Год рождения: 1957. Образование: высшее. Стаж руководящей работы (лет): 22. Предыдущая должность: 1999-2002 г. – вице-президент по коммерческим вопросам и экономике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", с 2002 по настоящее время – Председатель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правления-президент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Заместитель председателя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правления-вице-президент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по производству и реализации Тверезый Александр Владимирович. Год рождения: 1961. Образование: высшее. Стаж руководящей работы (лет): 8. Предыдущая должность: 2000-2002 г. – главный инженер ЧП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Укрдоркомплект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", с 2002 по настоящее время – заместитель Председателя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правления-вице-президент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Член правления -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вице-президент-технический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директор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Куленко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Виктор Васильевич. Год рождения: 1940. Образование: высшее. Стаж руководящей работы (лет): 36. Предыдущая должность: 1988-1994 г. – главный инженер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>/о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Дормашина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", с 1994 по настоящее время  – член правления –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вице-президент-технический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директор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вице-президент по коммерческим вопросам и экономике Косых Михаил Юрьевич. Год рождения: 1966. Образование: высшее. Стаж руководящей работы (лет): 7. Предыдущая должность: 1998-2002 г. – директор Кременчугского отделения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госказначейства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, с 2002 по настоящее время – член правления – вице-президент по коммерческим вопросам и экономике. У должностного лица эмитента непогашенной судимости за корыстные и должностные преступления не было.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Член правления – вице-президент по качеству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Довбня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Александр Иванович. Год рождения: 1965. Образование: высшее. Стаж руководящей работы (лет): 12. Предыдущая должность: 2001-2003 г. – заместитель главного технолога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2003 по настоящее время – член правления – вице-президент по качеству.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правления – вице-президент по кадрам, быту и социальным вопросам Редькин Александр Викторович. Год рождения: 1952. Образование: высшее. Стаж руководящей работы (лет): 27. Предыдущая должность: 1992-1996 г. – директор КСК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1996 - по настоящее время – член правления – вице-президент по кадрам, быту и социальным вопросам.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lastRenderedPageBreak/>
        <w:t xml:space="preserve">Член правления – начальник планово-экономического отдела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Ляшенко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Нина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Гурьевна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. Год рождения: 1958. Образование: высшее. Стаж руководящей работы (лет): 16. Предыдущая должность: 1994-1995 г. заместитель начальника ПЭО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1995 по настоящее время – член правления - начальник ПЭО.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главный бухгалтер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Быхкало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Оксана Владимировна. Год рождения: 1970. Образование: высшее. Стаж руководящей работы (лет): 14. Предыдущая должность: 1994-1995 г. – главный бухгалтер Государственного научно-исследовательского института вагоностроения, с 1995 по 24.03.2010 – заместитель главного бухгалтера, с 25.03.2010  по настоящее время – главный бухгалтер.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правления – главный энергетик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Перепельченко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Виктор Иванович. Год рождения: 1954. Образование: высшее. Стаж руководящей работы (лет): 21. Предыдущая должность: 1997-1998 г. – заместитель начальника КДТ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1998  по настоящее время – член правления – главный энергетик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Председатель ревизионной комиссии – начальник ООТЗ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 Кузнецова Елена Николаевна. Год рождения: 1963. Образование: высшее. Стаж руководящей работы (лет): 4. Предыдущая должность: 1997-2005 г. – начальник бюро ООТЗ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2005 по настоящее время – начальник ООТЗ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Председатель наблюдательного совета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Мунтян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Борис Николаевич. Год рождения: 1935. Образование: высшее. Стаж руководящей работы (лет): 41. Предыдущая должность: 1994-2002 г. – Председатель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правления-президент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2002 по настоящее время – председатель наблюдательного совета.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Заместитель председателя наблюдательного совета – главный конструктор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 Заболотный Валентин Моисеевич. Год рождения: 1939. Образование: высшее. Стаж руководящей работы (лет): 27. Предыдущая должность: 2001-2006 г. – начальник КБ, с 2006 по настоящее время – заместитель председателя наблюдательного совета – главный конструктор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наблюдательного совета – Председатель правления ЗАО "НТЦ "Информационные системы"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Будко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Александр Александрович. Год рождения: 1940. Образование: высшее. Стаж руководящей работы (лет): 40. Предыдущая должность: 1995-1997 г. – директор ЗАО "НТЦ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Информсистеми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1997 по настоящее время – член наблюдательного совета – председатель правления ЗАО "НТЦ "Информационные системы".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Секретарь наблюдательного совета – начальник БРТ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 Ахмедова Наталия Николаевна. Год рождения: 1961. Образование: высшее. Стаж руководящей работы (лет): 12. Предыдущая должность: 1992-1998 г. – инженер 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lastRenderedPageBreak/>
        <w:t>БРТ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1998 по настоящее время – начальник БРТ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".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наблюдательного совета Литвиненко Анатолий Кузьмич. Год рождения: 1941. Образование: высшее. Стаж руководящей работы (лет): 35. Предыдущая должность: 1995-2008 р. – член наблюдательного совета – управляющий филиалом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Проминвестбанка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", с 2010 по настоящее время – член наблюдательного совета - заместитель председателя правления - генеральный директор общественной организации "Кременчугская городская организация работодателей"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.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У должностного лица эмитента непогашенной судимости за корыстные и должностные преступления не было.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Сведения о владении должностными лицами акциями общества: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Председатель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правления-президент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Данилейко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Николай Иванович. Количество акций: 54573. В процентах: 15,970139.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Заместитель председателя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правления-вице-президент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по производству и реализации Тверезый Александр Владимирович. Количество акций: 34887. В процентах: 10,209266.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вице-президент-технический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директор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Куленко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Виктор Васильевич. Количество акций: 3460. В процентах: 1,012528.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правления – вице-президент по коммерческим вопросам и экономике Косых Михаил Юрьевич. Количество акций: 3559. В процентах: 1,041499.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вице-президент по качеству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Довбня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Александр Иванович. Количество акций: 119. В процентах: 0,034824.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правления – вице-президент по кадрам, быту и социальным вопросам Редькин Александр Викторович. Количество акций: 4588. В процентах: 1,342624.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начальник планово-экономического отдела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Ляшенко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Нина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Гурьевна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. Количество акций: 442. В процентах: 0,129346.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правления – главный бухгалтер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Быхкало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Оксана Владимировна. Количество акций: 11. В процентах: 0,003219.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Член правления – главный энергетик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".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Перепельченко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Виктор Иванович. Количество акций: 2132. В процентах: 0,623904.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Председатель ревизионной комиссии – начальник ООТЗ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 Кузнецова Елена Николаевна. Количество акций: 1. В процентах: 0,000293.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Председатель наблюдательного совета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Мунтян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Борис Николаевич. Количество акций: 17000. В процентах: 4,974848.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Заместитель председателя наблюдательного совета – главный конструктор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 Заболотный Валентин Моисеевич. Количество акций: 800. В процентах: 0,234110.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наблюдательного совета – председатель правления ЗАО "НТЦ "Информационные системы"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Будко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Александр Александрович. Количество акций: 12588. В процентах: 3,683728.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lastRenderedPageBreak/>
        <w:t>Секретарь наблюдательного совета – начальник БРТ ОАО "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" Ахмедова Наталия Николаевна. Количество акций: 76. В процентах: 0,022240.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Член наблюдательного совета – заместитель председателя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правления-генеральный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директор общественной организации "Кременчугская городская организация работодателей" Литвиненко Анатолий Кузьмич. Количество акций: 210. В процентах: 0,061454.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Учредители эмитента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Фонд Государственного имущества Украины. Местонахождение: Украина, 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>. Киев, ул. Садовая, 3.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0 ,000000%.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4. Информация о ценных бумагах эмитента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Акции. Дата регистрации выпуска: 02.06.2010. Номер свидетельства о регистрации выпуска: 317/1/10. Наименование органа, зарегистрировавшего выпуск: ГКЦБФР. Международный идентификационный номер: UA1600101000. Тип ценной бумаги: Именные простые. Форма существования и форма выпуска: Бездокументарная, именные. Номинальная стоимость (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грн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.): 25,00. Количество акций (штук): 341719. Общая номинальная стоимость (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грн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>.): 8542975,00. Часть в уставном капитале (в процентах): 100,000000. Торговля акциями Общества на внутренних и внешних рынках ценных бумаг не осуществляется, акции не включены в листинг/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делистинг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какой-либо фондовой биржи. Дополнительный выпуск акций не производился.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5. Информация об изменении лица, ведущего учет прав собственности на ценные бумаги эмитента в депозитарной системе Украины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Согласно протокола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решения о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дематериализации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выпуска акций ОАО "Кременчугский завод дорожных машин",  утвержденного общим собранием акционеров от 23.04.2010 г.,  лицом, ведущем учет прав собственности на ценные бумаги, является Частное акционерное общество "Всеукраинский депозитарий ценных бумаг".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6. Информация об общем собрании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Вид общего собрания: 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очередное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>. Дата проведения: 2.04.2011. Кворум собрания (%): 86,220000.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1.    Утверждение отчета Правления о финансово-хозяйственной деятельности Общества в 2010 году и основных направлениях его деятельности в 2011 году.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2.    Утверждение отчета и выводов Ревизионной комиссии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3.    Утверждение отчета Наблюдательного совета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4.    Утверждение порядка распределения прибыли Общества и решение вопроса о выплате дивидендов за 2010 г.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5.    Досрочный отзыв (прекращение полномочий) членов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Надблюдательного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совета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6.    Досрочный отзыв (прекращение полномочий) членов Ревизионной комиссии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7.    Внесение изменений и дополнений 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в Устав Общества в связи с приведением его в соответствие к требованиям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Закона Украины "Об акционерных Обществах" путем изложения в новой редакции. Утверждение новой редакции Устава Общества. Предоставление полномочий на подписание Устава в новой редакции и осуществление действий по его государственной регистрации.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8.    Утверждение Положения о Наблюдательном совете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lastRenderedPageBreak/>
        <w:t>9.    Утверждение Положения о Ревизионной комиссии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10.    Утверждение Положения о Правлении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11.    Утверждение Положения об Общем собрании акционеров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12.    Избрание членов Наблюдательного совета Общества.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13.    Избрание членов Ревизионной комиссии Общества.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Согласно решению Общего Собрания акционеров (протокол от 02.04. 2011 г.) Общество изменило название с Открытого акционерного общества "Кременчугский завод дорожных машин" (код за ЕГРПОУ - 05762565) на Публичное акционерное общество "Кременчугский завод дорожных машин" (код за ЕГРПОУ - 05762565).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Согласно решению наблюдательного совета (протокол от 02.04.2011 г.) Председателем наблюдательного совета - Президентом  избран  </w:t>
      </w:r>
      <w:proofErr w:type="spell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Данилейко</w:t>
      </w:r>
      <w:proofErr w:type="spell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Николай Иванович.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Согласно решению наблюдательного совета (протокол от 05.04.2011 г.)  Председателем </w:t>
      </w:r>
      <w:proofErr w:type="spellStart"/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правления-Генеральным</w:t>
      </w:r>
      <w:proofErr w:type="spellEnd"/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t xml:space="preserve"> директором  назначен  Тверезый Александр Владимирович.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7. Информация о дивидендах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06"/>
        <w:gridCol w:w="1256"/>
        <w:gridCol w:w="2563"/>
        <w:gridCol w:w="1127"/>
        <w:gridCol w:w="2563"/>
      </w:tblGrid>
      <w:tr w:rsidR="00C824AA" w:rsidRPr="00C824AA" w:rsidTr="00C824AA">
        <w:trPr>
          <w:jc w:val="center"/>
        </w:trPr>
        <w:tc>
          <w:tcPr>
            <w:tcW w:w="4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 результатам отчетного периода</w:t>
            </w:r>
          </w:p>
        </w:tc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 xml:space="preserve">По результатам периода, предшествующего </w:t>
            </w:r>
            <w:proofErr w:type="gramStart"/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отчетному</w:t>
            </w:r>
            <w:proofErr w:type="gramEnd"/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 простым акциям</w:t>
            </w:r>
          </w:p>
        </w:tc>
        <w:tc>
          <w:tcPr>
            <w:tcW w:w="11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 привилегированным акциям</w:t>
            </w:r>
          </w:p>
        </w:tc>
        <w:tc>
          <w:tcPr>
            <w:tcW w:w="11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 простым акциям</w:t>
            </w:r>
          </w:p>
        </w:tc>
        <w:tc>
          <w:tcPr>
            <w:tcW w:w="11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 привилегированным акциям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Сумма начисленных дивидендов, </w:t>
            </w:r>
            <w:proofErr w:type="spellStart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грн</w:t>
            </w:r>
            <w:proofErr w:type="spellEnd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Начисленные дивиденды на одну акцию, </w:t>
            </w:r>
            <w:proofErr w:type="spellStart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грн</w:t>
            </w:r>
            <w:proofErr w:type="spellEnd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2,30000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1,60000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0,00000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Сумма выплаченных дивидендов, </w:t>
            </w:r>
            <w:proofErr w:type="spellStart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грн</w:t>
            </w:r>
            <w:proofErr w:type="spellEnd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0</w:t>
            </w: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Дата составления перечня лиц, имеющих  право на получение </w:t>
            </w:r>
            <w:proofErr w:type="spellStart"/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дивидендив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19.04.2011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Дата выплаты дивидендов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26.04.2011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C824AA" w:rsidRPr="00C824AA" w:rsidTr="00C824AA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gridSpan w:val="4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Дата принятия решения о выплате дивидендов -2.04.2011г. общим собранием акционеров. Дата начала выплаты дивидендов (за отчетный период) - 26.04.2011г.</w:t>
            </w:r>
          </w:p>
        </w:tc>
      </w:tr>
    </w:tbl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lastRenderedPageBreak/>
        <w:t>8. Информация об аудиторском заключении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Руководствуясь статьями 7 и 21 Закона Украины "Об аудиторской деятельности" от 22.04.93 г., № 3125-ХІІ (с изменениями), международными стандартами аудита, № 700, 701 и 720, и учитывая выполнение необходимых условий: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- аудитор получил всю информацию и пояснения, необходимые для целей аудита;      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- предоставленная информация достаточна для отражения реального состояния дел предприятия;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- имеются адекватные и достоверные данные по всем существенным вопросам;</w:t>
      </w:r>
      <w:proofErr w:type="gramEnd"/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 xml:space="preserve">- </w:t>
      </w:r>
      <w:proofErr w:type="gramStart"/>
      <w:r w:rsidRPr="00C824AA">
        <w:rPr>
          <w:rFonts w:ascii="Arial" w:eastAsia="Times New Roman" w:hAnsi="Arial" w:cs="Arial"/>
          <w:color w:val="1A3337"/>
          <w:sz w:val="24"/>
          <w:szCs w:val="24"/>
        </w:rPr>
        <w:t>финансовая документация подготовлена в соответствии с принятой на предприятии учетной политикой, которая в целом отвечает требованиям законодательства Украины; </w:t>
      </w:r>
      <w:r w:rsidRPr="00C824AA">
        <w:rPr>
          <w:rFonts w:ascii="Arial" w:eastAsia="Times New Roman" w:hAnsi="Arial" w:cs="Arial"/>
          <w:color w:val="1A3337"/>
          <w:sz w:val="24"/>
          <w:szCs w:val="24"/>
        </w:rPr>
        <w:br/>
        <w:t>аудитор считает, что финансовые отчеты ОАО "Кременчугский завод дорожных машин" справедливо и достоверно отражают во всех существенных аспектах финансовое состояние предприятия на 31 декабря 2010 года, а также результат его деятельности и движение денежных средств за 2010 год.</w:t>
      </w:r>
      <w:proofErr w:type="gramEnd"/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9. Информация о дате размещения полного текста годовой информации в общедоступной информационной базе данных Комиссии и другого обнародования.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Дата размещения полного текста годовой информации в общедоступной информационной базе данных Комиссии – 20.04.2011г.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b/>
          <w:bCs/>
          <w:color w:val="1A3337"/>
          <w:sz w:val="24"/>
          <w:szCs w:val="24"/>
        </w:rPr>
        <w:t>10. Подпись</w:t>
      </w:r>
    </w:p>
    <w:p w:rsidR="00C824AA" w:rsidRPr="00C824AA" w:rsidRDefault="00C824AA" w:rsidP="00C824A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824AA">
        <w:rPr>
          <w:rFonts w:ascii="Arial" w:eastAsia="Times New Roman" w:hAnsi="Arial" w:cs="Arial"/>
          <w:color w:val="1A3337"/>
          <w:sz w:val="24"/>
          <w:szCs w:val="24"/>
        </w:rPr>
        <w:t>10.1. Лицо, указанное ниже, подтверждает достоверность предоставленной информации и признает, что оно несет ответственность согласно законодательству.</w:t>
      </w:r>
    </w:p>
    <w:tbl>
      <w:tblPr>
        <w:tblW w:w="142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59"/>
        <w:gridCol w:w="8706"/>
      </w:tblGrid>
      <w:tr w:rsidR="00C824AA" w:rsidRPr="00C824AA" w:rsidTr="00C824AA">
        <w:tc>
          <w:tcPr>
            <w:tcW w:w="555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Председатель правлени</w:t>
            </w:r>
            <w:proofErr w:type="gramStart"/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я-</w:t>
            </w:r>
            <w:proofErr w:type="gramEnd"/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 </w:t>
            </w:r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br/>
              <w:t>Президент</w:t>
            </w:r>
          </w:p>
        </w:tc>
        <w:tc>
          <w:tcPr>
            <w:tcW w:w="870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24AA" w:rsidRPr="00C824AA" w:rsidRDefault="00C824AA" w:rsidP="00C824A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Данилейко</w:t>
            </w:r>
            <w:proofErr w:type="spellEnd"/>
            <w:r w:rsidRPr="00C824AA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 xml:space="preserve"> Н. И.</w:t>
            </w:r>
          </w:p>
        </w:tc>
      </w:tr>
    </w:tbl>
    <w:p w:rsidR="009F7FA8" w:rsidRDefault="009F7FA8"/>
    <w:sectPr w:rsidR="009F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4AA"/>
    <w:rsid w:val="009F7FA8"/>
    <w:rsid w:val="00C8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24AA"/>
    <w:rPr>
      <w:b/>
      <w:bCs/>
    </w:rPr>
  </w:style>
  <w:style w:type="character" w:customStyle="1" w:styleId="apple-converted-space">
    <w:name w:val="apple-converted-space"/>
    <w:basedOn w:val="a0"/>
    <w:rsid w:val="00C82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2417</Words>
  <Characters>13780</Characters>
  <Application>Microsoft Office Word</Application>
  <DocSecurity>0</DocSecurity>
  <Lines>114</Lines>
  <Paragraphs>32</Paragraphs>
  <ScaleCrop>false</ScaleCrop>
  <Company>MultiDVD Team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2017-03-17T09:33:00Z</dcterms:created>
  <dcterms:modified xsi:type="dcterms:W3CDTF">2017-03-17T09:34:00Z</dcterms:modified>
</cp:coreProperties>
</file>